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Schnapp: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happening at ORAU. Amber,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Davis: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unprecedented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Schnupp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Vascones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Stevens: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Schnapp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Schnapp: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glad to have you.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Vascones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Vascones: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ORAU.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Stevens: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OREU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assessorists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Stevens: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take the next question?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Davis: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Stevens: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Davis: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Stevens: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Davis: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Schnapp: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Vascones: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Schnapp: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consortium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tandem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Vascones: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Schnapp: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it's an area that OREU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ORUA's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comes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Knoxville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consortium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Davis: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Schnapp: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Vascones: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consortium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matchmake.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Vascones: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Stevens: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USDA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paper. Of course I love, y'all know I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 Vascones: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Michael, Amber.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Schnapp: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 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Stevens: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www.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ORAU Further Together-Food Security (Completed  10/04/25)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06,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_DAWB0EUDjlQKcX6LwnZC-hL5xK8cNvGkasdtXFy3nFCTVHnDRwt_h0qsIANqzAOssSZ3t8XmcsgkLV5cxy_9k9A1N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