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Davenport: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Davenport,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crosscutting.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incinerators,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coal-fired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Davenport: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Firouzeh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Memphis.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Firouzeh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Davenport: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reapply?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(affirmative).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Firouzeh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cognizant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 Hammond: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Casey Thomas: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 Davenport: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Holtz: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www.orau.org.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ORAU Further Together Podcast-ORDR (Completed  12/08/21)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03,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LBhn67y1b24JwD4GAA-CtC6D1Cbfh-_S2SFF9DTFKljLJghshcs67FxPcjHD3EhrwCUZvbM6tGAp2JfhARMSU4nL-pI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